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84FD" w14:textId="3F6B69D4" w:rsidR="00A715A0" w:rsidRPr="007C4470" w:rsidRDefault="00A715A0" w:rsidP="00A715A0">
      <w:pPr>
        <w:spacing w:line="240" w:lineRule="auto"/>
        <w:rPr>
          <w:rFonts w:ascii="Times New Roman" w:hAnsi="Times New Roman" w:cs="Times New Roman"/>
          <w:sz w:val="24"/>
          <w:szCs w:val="24"/>
        </w:rPr>
      </w:pPr>
      <w:r>
        <w:t>TO: Brianne Gorod and Brian Frazelle</w:t>
      </w:r>
    </w:p>
    <w:p w14:paraId="6409AE88" w14:textId="0D646320" w:rsidR="00A715A0" w:rsidRPr="007C4470" w:rsidRDefault="00A715A0" w:rsidP="00A715A0">
      <w:pPr>
        <w:spacing w:line="240" w:lineRule="auto"/>
        <w:rPr>
          <w:rFonts w:ascii="Times New Roman" w:hAnsi="Times New Roman" w:cs="Times New Roman"/>
          <w:sz w:val="24"/>
          <w:szCs w:val="24"/>
        </w:rPr>
      </w:pPr>
      <w:r>
        <w:t>FROM: Alice Lesniak</w:t>
      </w:r>
    </w:p>
    <w:p w14:paraId="62798254" w14:textId="0E1C8C2A" w:rsidR="00A715A0" w:rsidRPr="007C4470" w:rsidRDefault="00A715A0" w:rsidP="00A715A0">
      <w:pPr>
        <w:spacing w:line="240" w:lineRule="auto"/>
        <w:rPr>
          <w:rFonts w:ascii="Times New Roman" w:hAnsi="Times New Roman" w:cs="Times New Roman"/>
          <w:sz w:val="24"/>
          <w:szCs w:val="24"/>
        </w:rPr>
      </w:pPr>
      <w:r>
        <w:t>DATE: XX</w:t>
      </w:r>
    </w:p>
    <w:p w14:paraId="3F814969" w14:textId="62CE1D0C" w:rsidR="00A715A0" w:rsidRDefault="00A715A0" w:rsidP="007F4E7D">
      <w:pPr>
        <w:spacing w:line="240" w:lineRule="auto"/>
        <w:rPr>
          <w:rFonts w:ascii="Times New Roman" w:hAnsi="Times New Roman" w:cs="Times New Roman"/>
          <w:sz w:val="24"/>
          <w:szCs w:val="24"/>
        </w:rPr>
      </w:pPr>
      <w:r>
        <w:t>RE: XX</w:t>
      </w:r>
    </w:p>
    <w:p w14:paraId="009E6E4E" w14:textId="77777777" w:rsidR="007F4E7D" w:rsidRPr="007C4470" w:rsidRDefault="007F4E7D" w:rsidP="007F4E7D">
      <w:pPr>
        <w:spacing w:line="240" w:lineRule="auto"/>
        <w:rPr>
          <w:rFonts w:ascii="Times New Roman" w:hAnsi="Times New Roman" w:cs="Times New Roman"/>
          <w:sz w:val="24"/>
          <w:szCs w:val="24"/>
        </w:rPr>
      </w:pPr>
      <w:r/>
    </w:p>
    <w:p w14:paraId="5DEA180F" w14:textId="412843BD" w:rsidR="00A715A0" w:rsidRPr="007C4470" w:rsidRDefault="00A715A0" w:rsidP="007C4470">
      <w:pPr>
        <w:pStyle w:val="ListParagraph"/>
        <w:numPr>
          <w:ilvl w:val="0"/>
          <w:numId w:val="1"/>
        </w:numPr>
        <w:spacing w:line="480" w:lineRule="auto"/>
        <w:rPr>
          <w:rFonts w:ascii="Times New Roman" w:hAnsi="Times New Roman" w:cs="Times New Roman"/>
          <w:b/>
          <w:bCs/>
          <w:sz w:val="24"/>
          <w:szCs w:val="24"/>
        </w:rPr>
      </w:pPr>
      <w:r>
        <w:t>QUESTION PRESENTED</w:t>
      </w:r>
    </w:p>
    <w:p w14:paraId="78A9EC42" w14:textId="036B18B2" w:rsidR="00A715A0" w:rsidRPr="007C4470" w:rsidRDefault="007C4470" w:rsidP="00A715A0">
      <w:pPr>
        <w:spacing w:line="480" w:lineRule="auto"/>
        <w:rPr>
          <w:rFonts w:ascii="Times New Roman" w:hAnsi="Times New Roman" w:cs="Times New Roman"/>
          <w:sz w:val="24"/>
          <w:szCs w:val="24"/>
        </w:rPr>
      </w:pPr>
      <w:r>
        <w:t>What are the policy rationales that support the existence of independent agencies?</w:t>
      </w:r>
    </w:p>
    <w:p w14:paraId="317FD1AD" w14:textId="27715074" w:rsidR="002A28BC" w:rsidRDefault="00A715A0" w:rsidP="007C4470">
      <w:pPr>
        <w:pStyle w:val="ListParagraph"/>
        <w:numPr>
          <w:ilvl w:val="0"/>
          <w:numId w:val="1"/>
        </w:numPr>
        <w:spacing w:line="480" w:lineRule="auto"/>
        <w:rPr>
          <w:rFonts w:ascii="Times New Roman" w:hAnsi="Times New Roman" w:cs="Times New Roman"/>
          <w:b/>
          <w:bCs/>
          <w:sz w:val="24"/>
          <w:szCs w:val="24"/>
        </w:rPr>
      </w:pPr>
      <w:r>
        <w:t>BRIEF ANSWER</w:t>
      </w:r>
    </w:p>
    <w:p w14:paraId="27C11989" w14:textId="2378F40A" w:rsidR="00DF57A1" w:rsidRDefault="00DF57A1" w:rsidP="00DF57A1">
      <w:pPr>
        <w:spacing w:line="480" w:lineRule="auto"/>
        <w:ind w:firstLine="360"/>
        <w:rPr>
          <w:rFonts w:ascii="Times New Roman" w:hAnsi="Times New Roman" w:cs="Times New Roman"/>
          <w:sz w:val="24"/>
          <w:szCs w:val="24"/>
        </w:rPr>
      </w:pPr>
      <w:r>
        <w:t>The concept of an “independent agency” lacks a single defining feature, but scholars commonly identify three key characteristics: (1) a multimember composition, (2) bipartisan balance requirements, and (3) fixed terms with for-cause removal protections. These features promote expertise, stability, and decision-making insulated from political influence.</w:t>
      </w:r>
    </w:p>
    <w:p w14:paraId="3DF1FDEC" w14:textId="77777777" w:rsidR="00DF57A1" w:rsidRDefault="00DF57A1" w:rsidP="00DF57A1">
      <w:pPr>
        <w:spacing w:line="480" w:lineRule="auto"/>
        <w:ind w:firstLine="360"/>
        <w:rPr>
          <w:rFonts w:ascii="Times New Roman" w:hAnsi="Times New Roman" w:cs="Times New Roman"/>
          <w:sz w:val="24"/>
          <w:szCs w:val="24"/>
        </w:rPr>
      </w:pPr>
      <w:r>
        <w:t>A multimember structure fosters collegial deliberation, prevents power concentration, and encourages moderate, expertise-driven policy decisions. Bipartisan balance requirements ensure that no single party dominates, reducing political sway and enhancing public trust in agency decisions. Fixed terms and for-cause removal protections further insulate agencies from political retaliation, ensuring regulatory continuity across administrations.</w:t>
      </w:r>
    </w:p>
    <w:p w14:paraId="02E0E963" w14:textId="2D7F0123" w:rsidR="00DF57A1" w:rsidRPr="00DF57A1" w:rsidRDefault="00DF57A1" w:rsidP="00DF57A1">
      <w:pPr>
        <w:spacing w:line="480" w:lineRule="auto"/>
        <w:ind w:firstLine="360"/>
        <w:rPr>
          <w:rFonts w:ascii="Times New Roman" w:hAnsi="Times New Roman" w:cs="Times New Roman"/>
          <w:sz w:val="24"/>
          <w:szCs w:val="24"/>
        </w:rPr>
      </w:pPr>
      <w:r>
        <w:t>While critics argue that independent agencies lack democratic accountability and may be inefficient due to collegial decision-making, oversight mechanisms—such as budget control, presidential influence through chair appointments, and congressional oversight—help maintain a balance between independence and responsiveness to elected officials. Additionally, while independent agencies may at times act more slowly, this structure is a tradeoff designed to ensure careful, expertise-driven decision-making in sensitive policy areas.</w:t>
      </w:r>
    </w:p>
    <w:p w14:paraId="60794CE4" w14:textId="0D54A23E" w:rsidR="007C4470" w:rsidRDefault="007C4470" w:rsidP="00DF57A1">
      <w:pPr>
        <w:pStyle w:val="ListParagraph"/>
        <w:numPr>
          <w:ilvl w:val="0"/>
          <w:numId w:val="1"/>
        </w:numPr>
        <w:spacing w:line="480" w:lineRule="auto"/>
        <w:rPr>
          <w:rFonts w:ascii="Times New Roman" w:hAnsi="Times New Roman" w:cs="Times New Roman"/>
          <w:b/>
          <w:bCs/>
          <w:sz w:val="24"/>
          <w:szCs w:val="24"/>
        </w:rPr>
      </w:pPr>
      <w:r>
        <w:t>DISCUSSION</w:t>
      </w:r>
    </w:p>
    <w:p w14:paraId="1B49A9B2" w14:textId="15753552" w:rsidR="00A1414C" w:rsidRDefault="00A1414C" w:rsidP="00EF1E36">
      <w:pPr>
        <w:spacing w:line="480" w:lineRule="auto"/>
        <w:ind w:firstLine="360"/>
        <w:rPr>
          <w:rFonts w:ascii="Times New Roman" w:hAnsi="Times New Roman" w:cs="Times New Roman"/>
          <w:sz w:val="24"/>
          <w:szCs w:val="24"/>
        </w:rPr>
      </w:pPr>
      <w:r>
        <w:t xml:space="preserve">“Independent agency” is a difficult concept to define, as “there is no single feature that every agency commonly thought of as independent shares.” Kirti Datla and Richard L. Revesz, Deconstructing Independent Agencies (and Executive Agencies), 98 Cornell L. Rev. 769, 842 (2013). However, in the literature on this form of administration, there are a few defining characteristics that are consistently identified by scholars; see Geoffrey P. Miller, Independent Agencies, 1986 Sup. Ct. Rev. 41, 51 (1986) (“Almost uniformly they display the following characteristics: (1) leadership by a multi-member panel; (2) political criteria for appointment, with no more than a majority allowed to come from one party; . . . restrictions on removal power”); Paul R. Verkuil, The Purposes and Limits of Independent Agencies, 1988 Duke L.J. 257, 259 (1988) (“[The ‘independent’] characteristic is based largely upon three statutory arrangements: the bipartisan appointment requirement; the fixed term requirement; and the requirement that removal be limited to express causes.”); Lisa Schultz Bressman and Robert B. Thompson, The Future of Agency Independence, 63 Vand. L. Rev. 599, 600, 611 (2010) (“Independent agencies . . . are run by collegial bodies whose members serve fixed, staggered terms. The President cannot fire the members of these agencies for political reasons” and they are “often subject to express bipartisan requirements.”). For the purposes of this memo, the defining elements of these agencies are (1) a multimember composition; (2) a bipartisan balance requirement; and (3) fixed terms with for-cause removal protections. These are all features of the most common agencies considered independent, including the Federal Reserve Board, 12 U.S.C. §§ 241-42, the Securities and Exchange Commission, 15 U.S.C § 78d(a), and the Federal Trade Commission, 15 U.S.C. § 41, to name a few. </w:t>
      </w:r>
    </w:p>
    <w:p w14:paraId="3C86EF1B" w14:textId="52967DA0" w:rsidR="00880F3F" w:rsidRPr="00A1414C" w:rsidRDefault="00880F3F" w:rsidP="007F4E7D">
      <w:pPr>
        <w:spacing w:line="480" w:lineRule="auto"/>
        <w:ind w:firstLine="360"/>
        <w:rPr>
          <w:rFonts w:ascii="Times New Roman" w:hAnsi="Times New Roman" w:cs="Times New Roman"/>
          <w:sz w:val="24"/>
          <w:szCs w:val="24"/>
        </w:rPr>
      </w:pPr>
      <w:r>
        <w:t>These elements are not only the most common threads between independent agencies, but they are what allow these agencies to achieve the independence and expertise that their specialized structure is meant to create. These agencies engage in work that is “of a most exacting and difficult character,” S. Rep. No. 597, 63d Cong., 2d Sess. 10 (1914), and thus must be run in a way that promotes “experience in the problems to be met” and “free[dom] from political domination or control.” Id. at 10; Humphrey’s Executor v. United States, 295 U.S. 602, 624-25 (1935) (quotation marks omitted). The unique structure of these agencies creates institutions that promote expertise and moderation in decision-making, continuity and stability in policy, and decisions based on facts and the public interest. This memo will examine each of the three identified features of independent agencies to understand why they foster the achievement of such goals, and will conclude by briefly examining the policy-based counterarguments to these agencies. Note that there are also policy justifications for these agencies that are tailored to certain areas of expertise, as well as constitutional arguments in support of these agencies. While these are important aspects of understanding the role of independent agencies, they are outside the scope of this memo and will not be addressed here.</w:t>
      </w:r>
    </w:p>
    <w:p w14:paraId="05D98E47" w14:textId="71F16C8A" w:rsidR="00A1414C" w:rsidRDefault="00A1414C" w:rsidP="00A1414C">
      <w:pPr>
        <w:pStyle w:val="ListParagraph"/>
        <w:numPr>
          <w:ilvl w:val="1"/>
          <w:numId w:val="1"/>
        </w:numPr>
        <w:spacing w:line="480" w:lineRule="auto"/>
        <w:rPr>
          <w:rFonts w:ascii="Times New Roman" w:hAnsi="Times New Roman" w:cs="Times New Roman"/>
          <w:b/>
          <w:bCs/>
          <w:sz w:val="24"/>
          <w:szCs w:val="24"/>
        </w:rPr>
      </w:pPr>
      <w:r>
        <w:t>Multimember Composition</w:t>
      </w:r>
    </w:p>
    <w:p w14:paraId="392108DB" w14:textId="652DCA86" w:rsidR="00A1414C" w:rsidRDefault="00A1414C" w:rsidP="00A1414C">
      <w:pPr>
        <w:spacing w:line="480" w:lineRule="auto"/>
        <w:rPr>
          <w:rFonts w:ascii="Times New Roman" w:hAnsi="Times New Roman" w:cs="Times New Roman"/>
          <w:sz w:val="24"/>
          <w:szCs w:val="24"/>
        </w:rPr>
      </w:pPr>
      <w:r>
        <w:t>One of the defining characteristics of an independent agency is that of being headed by a multimember panel. Instead of being led by a single director, this type of composition prevents the concentration of power, imposes moderation, and promotes decision-making that is based on expertise and careful deliberation.</w:t>
      </w:r>
    </w:p>
    <w:p w14:paraId="469F94F3" w14:textId="66E94E5F" w:rsidR="005F0779" w:rsidRDefault="005F0779" w:rsidP="00A1414C">
      <w:pPr>
        <w:spacing w:line="480" w:lineRule="auto"/>
        <w:rPr>
          <w:rFonts w:ascii="Times New Roman" w:hAnsi="Times New Roman" w:cs="Times New Roman"/>
          <w:sz w:val="24"/>
          <w:szCs w:val="24"/>
        </w:rPr>
      </w:pPr>
      <w:r>
        <w:tab/>
        <w:t>The prevention of the concentration of power in these agencies promotes a style of decision-making that encourages moderation, see Marshall J. Breger and Gary J. Edles, Established by Practice: The Theory and Operation of Independent Federal Agencies, 52 Admin. L. Rev. 1111, 1198 (2000) (“Placing decisional responsibility with a group ensures that the group takes into account diverse policy perspectives and adopts moderate policies.”). Collegial decisionmaking creates an environment in which multiple arguments must be debated and reconciled, “a process that can exist only in the group rather than solitary setting.” Verkuil, supra, at at 261. When “sensitive and far reaching responsibilities” must be handled like those managed by independent agencies, 5 Sen. Comm. on Gov't Affairs, Study On Federal Regulation: Regulatory Organization, S. Doc. No. 91, 95th Cong., 1st Sess. 79 (1977), it is imperative that the adjudicatory and rulemaking processes involve careful deliberation that considers multiple perspectives. The multimember structure “leads to better-informed and reasoned policy outcomes from the agency.” Datla and Revesz, supra, at at 794; see also Verkuil, supra, at at 260 (“[Collegial decisionmaking] is meant to be consensual, reflective and pluralistic. It expresses shared opinions rather than decisive ukases . . . . [These bodies] are more concerned with the values of fairness, acceptability, and accuracy.”). There is empirical support for this conclusion: a study of decisions by Administrative Law Judges found that multi-person panels tended to decide cases more consistently than cases decided by a single ALJ, and that the most extreme ends of the decisional spectrum were tempered by the use of panels. Charles J. Goetz et al., Social Security Hearings and Appeals: A Study of the Social Security Administration Hearing System, 20-29 (1978).</w:t>
      </w:r>
    </w:p>
    <w:p w14:paraId="53472CD6" w14:textId="3A3E8F7B" w:rsidR="0036128E" w:rsidRDefault="005B090D" w:rsidP="00A1414C">
      <w:pPr>
        <w:spacing w:line="480" w:lineRule="auto"/>
        <w:rPr>
          <w:rFonts w:ascii="Times New Roman" w:hAnsi="Times New Roman" w:cs="Times New Roman"/>
          <w:sz w:val="24"/>
          <w:szCs w:val="24"/>
        </w:rPr>
      </w:pPr>
      <w:r>
        <w:tab/>
        <w:t>The multimember structure not only requires collegial deliberation but fosters an environment in which such deliberation is engaged in by experts in the subject matter. Independent agencies allow expert consideration of issues that neither Congress nor the executive branch have the time or knowledge to handle. Bressman and Thompson, supra, at at 612-613. Instead, commission appointments by those branches are made from a selection of individuals with extensive experience and knowledge in the industry with which the agency is concerned. Breger and Edles, supra, at at 1140. Thus collegial deliberation fosters not only careful debate and discussion, but “an expertise with the subject matter that, in the real world, also makes their more reflective decisionmaking cost-efficient.” Verkuil, supra, at at 262.</w:t>
      </w:r>
    </w:p>
    <w:p w14:paraId="2D639515" w14:textId="6CB44F71" w:rsidR="00081D11" w:rsidRDefault="00081D11" w:rsidP="00A1414C">
      <w:pPr>
        <w:spacing w:line="480" w:lineRule="auto"/>
        <w:rPr>
          <w:rFonts w:ascii="Times New Roman" w:hAnsi="Times New Roman" w:cs="Times New Roman"/>
          <w:sz w:val="24"/>
          <w:szCs w:val="24"/>
        </w:rPr>
      </w:pPr>
      <w:r>
        <w:tab/>
        <w:t>While the multimember structure of independent agencies allows deliberation amongst experts, this is not the only way in which such a feature creates a nuanced decisionmaking process that cannot be achieved by a single head of an agency. Having multiple members leading an institution also imposes moderation by allowing for a diverse set of perspectives to be represented. This is achieved by another of the most common requirements of independent agencies, that of bipartisan balance.</w:t>
      </w:r>
    </w:p>
    <w:p w14:paraId="6887CCAF" w14:textId="213206DF" w:rsidR="00F44101" w:rsidRDefault="00F44101" w:rsidP="00F44101">
      <w:pPr>
        <w:pStyle w:val="ListParagraph"/>
        <w:numPr>
          <w:ilvl w:val="1"/>
          <w:numId w:val="1"/>
        </w:numPr>
        <w:spacing w:line="480" w:lineRule="auto"/>
        <w:rPr>
          <w:rFonts w:ascii="Times New Roman" w:hAnsi="Times New Roman" w:cs="Times New Roman"/>
          <w:b/>
          <w:bCs/>
          <w:sz w:val="24"/>
          <w:szCs w:val="24"/>
        </w:rPr>
      </w:pPr>
      <w:r>
        <w:t>Bipartisan Balance Requirements</w:t>
      </w:r>
    </w:p>
    <w:p w14:paraId="7664FD1A" w14:textId="3A229A4B" w:rsidR="00A2628D" w:rsidRDefault="00A2628D" w:rsidP="00A2628D">
      <w:pPr>
        <w:spacing w:line="480" w:lineRule="auto"/>
        <w:ind w:firstLine="720"/>
        <w:rPr>
          <w:rFonts w:ascii="Times New Roman" w:hAnsi="Times New Roman" w:cs="Times New Roman"/>
          <w:sz w:val="24"/>
          <w:szCs w:val="24"/>
        </w:rPr>
      </w:pPr>
      <w:r>
        <w:t>Many independent agencies have requirements for bipartisan composition of their leadership, allowing no more than a bare majority of one party, see, e.g., 15 U.S. Code § 2053(c);  42 U.S. Code § 7171(b). These requirements encourage independence by decreasing the political sway one single party has in the agency, encouraging decisions based on public interest and subject expertise rather than political agendas. This is essential not only to have effective administration, but also to foster public trust and legitimacy of governmental institutions.</w:t>
      </w:r>
    </w:p>
    <w:p w14:paraId="498F7D92" w14:textId="4824436E" w:rsidR="00F22431" w:rsidRDefault="00F22431" w:rsidP="00A2628D">
      <w:pPr>
        <w:spacing w:line="480" w:lineRule="auto"/>
        <w:ind w:firstLine="720"/>
        <w:rPr>
          <w:rFonts w:ascii="Times New Roman" w:hAnsi="Times New Roman" w:cs="Times New Roman"/>
          <w:sz w:val="24"/>
          <w:szCs w:val="24"/>
        </w:rPr>
      </w:pPr>
      <w:r>
        <w:t xml:space="preserve">The bipartisan balance requirement is commonly acknowledged to create political independence of these agencies. Verkuil, supra, at at 259-60 (“The requirement that the President appoint some commissioners of the party out of power or who are politically ‘independent’ is designed to isolate those decisionmakers from politics.”); Bressman and Thompson, supra, at at 611 ([T[he requirement that members of independent agencies represent both political parties is an overt attempt at achieving political balance . . . [and] a means to promote nonpartisan decisionmaking”). This allows an exceptional level of independence — even “the appointment of federal judges, who are meant to be our most independent officials, bears no such onus of political balance.” Verkuil, supra, at at 260. By removing political influence and forcing bipartisan deliberation, the decisions that are reached are more likely to be balanced and moderate. They will be based on facts and the public interest, because political agendas are less able to carry weight in the decisionmaking process. </w:t>
      </w:r>
    </w:p>
    <w:p w14:paraId="7BE40346" w14:textId="5220C485" w:rsidR="00A2628D" w:rsidRDefault="00F22431" w:rsidP="00A2628D">
      <w:pPr>
        <w:spacing w:line="480" w:lineRule="auto"/>
        <w:ind w:firstLine="720"/>
        <w:rPr>
          <w:rFonts w:ascii="Times New Roman" w:hAnsi="Times New Roman" w:cs="Times New Roman"/>
          <w:sz w:val="24"/>
          <w:szCs w:val="24"/>
        </w:rPr>
      </w:pPr>
      <w:r>
        <w:t xml:space="preserve">The political independence afforded by bipartisan balance requirements also allows for stability and continuity in the government and its policies. By limiting the level of influence a single party can have in these agencies, the short-term interests of those in power are less able to cause extreme swings in policy and administration. Bressman and Thompson, supra, at at 613 (“The short-term interests of any presidential administration have the potential to distort regulatory policies at the expense of long-range interests”); Datla and Revesz, supra, at at 797-98 (“Partisan balance requirements limit politically motivated decision-making within an agency. They ensure that different viewpoints will be expressed”).  This was a concern of Congress, particularly around financial regulation, and these types of agencies were explicitly intended to mitigate such influence. Neal Devins and David E. Lewis, Not-So Independent Agencies: Party Polarization and the Limits of Institutional Design, 88 B.U. L. Rev. 459, 465-66 (2008) (“Some members of Congress . . . feared that the short-term incentives of Presidents would be to use monetary and banking regulation for political or electoral benefit to the detriment of long-term economic stability and investment”). Bipartisan balance requirements, by reducing political sway, thus encourage decision-making by a diverse set of perspectives and promote stability in agency rules and regulations. </w:t>
      </w:r>
    </w:p>
    <w:p w14:paraId="1BB163D2" w14:textId="1765A126" w:rsidR="00E471B0" w:rsidRPr="00F22431" w:rsidRDefault="00E471B0" w:rsidP="00A2628D">
      <w:pPr>
        <w:spacing w:line="480" w:lineRule="auto"/>
        <w:ind w:firstLine="720"/>
        <w:rPr>
          <w:rFonts w:ascii="Times New Roman" w:hAnsi="Times New Roman" w:cs="Times New Roman"/>
          <w:sz w:val="24"/>
          <w:szCs w:val="24"/>
        </w:rPr>
      </w:pPr>
      <w:r>
        <w:t xml:space="preserve">Bipartisan balance in independent agencies also promotes public trust and legitimacy of these governmental institutions. When it comes to the “sensitive and far reaching responsibilities” of these agencies, S. Doc. No. 91, supra, at at 79, such as banking, financial markets, and public safety, having the “consensus-building through compromise” achieved by bipartisan composition “produce[s] a broader range of public acceptance for those decisions ultimately reached.” Breger and Edles, supra, at at 1198. Keeping public trust in government agencies and preventing the perception of political manipulation is essential, as “[e]ven a perception of this sort would have corrosive effects on democratic processes.” Lawrence Lessig &amp; Cass R. Sunstein, The President and The Administration, 94 Colum. L. Rev. 1, 108 (1994). Bipartisan balance requirements not only promote decision-making based on facts and the public interest rather than political concerns but also protect the public’s faith in the institutions that impact their everyday lives. </w:t>
      </w:r>
    </w:p>
    <w:p w14:paraId="505EB729" w14:textId="743967F6" w:rsidR="00F44101" w:rsidRDefault="00F44101" w:rsidP="00F44101">
      <w:pPr>
        <w:pStyle w:val="ListParagraph"/>
        <w:numPr>
          <w:ilvl w:val="1"/>
          <w:numId w:val="1"/>
        </w:numPr>
        <w:spacing w:line="480" w:lineRule="auto"/>
        <w:rPr>
          <w:rFonts w:ascii="Times New Roman" w:hAnsi="Times New Roman" w:cs="Times New Roman"/>
          <w:b/>
          <w:bCs/>
          <w:sz w:val="24"/>
          <w:szCs w:val="24"/>
        </w:rPr>
      </w:pPr>
      <w:r>
        <w:t>Fixed Terms and For-Cause Removal Protections</w:t>
      </w:r>
    </w:p>
    <w:p w14:paraId="7E2A42AC" w14:textId="7AF84495" w:rsidR="00415950" w:rsidRDefault="00415950" w:rsidP="00415950">
      <w:pPr>
        <w:spacing w:line="480" w:lineRule="auto"/>
        <w:rPr>
          <w:rFonts w:ascii="Times New Roman" w:hAnsi="Times New Roman" w:cs="Times New Roman"/>
          <w:sz w:val="24"/>
          <w:szCs w:val="24"/>
        </w:rPr>
      </w:pPr>
      <w:r>
        <w:t>According to Congress, “[t]he removal restriction is perhaps the single most important feature of regulatory independence.” S. Doc. No. 91, supra, at at 36. While for-cause removal protections are one of the most contentious features of independent agencies, they’re also some of the most important, as they, along with fixed terms, create stability and expertise in the government and prevent the threat of political retaliation that undermines the political independence that allows these agencies to engage in careful, balanced rulemaking.</w:t>
      </w:r>
    </w:p>
    <w:p w14:paraId="6828ED55" w14:textId="44490C7A" w:rsidR="008659E9" w:rsidRDefault="008659E9" w:rsidP="00415950">
      <w:pPr>
        <w:spacing w:line="480" w:lineRule="auto"/>
        <w:rPr>
          <w:rFonts w:ascii="Times New Roman" w:hAnsi="Times New Roman" w:cs="Times New Roman"/>
          <w:sz w:val="24"/>
          <w:szCs w:val="24"/>
        </w:rPr>
      </w:pPr>
      <w:r>
        <w:tab/>
        <w:t>Fixed terms “dilute the effect of transitory political events on agency policy,” preventing complete upheaval in government regulation efforts every time a new administration comes into power. Breger and Edles, supra, at at 1137. Because these terms are usually staggered and extend beyond the four-year presidential term, e.g. 12 U.S.C. § 241 (setting fourteen-year terms for members of the Federal Reserve Board); 47 U.S.C. § 154 (FCC members serve terms of five years), they can achieve a level of independence that permits the careful and expert deliberation discussed above. Furthermore, terms of tenure foster the further development of expertise amongst agency members, as “[l]longer terms of tenure will allow officers to gain experience in the subject matter of the agency[, and] [t]hose officers can then transfer that knowledge to newly appointed colleagues.” Datla &amp; Revesz, supra, at at 792. Fixed terms complement the expertise cultivated by the multimember structure by allowing that expertise to deepen and be passed on as agency leaders pass their tenure.</w:t>
      </w:r>
    </w:p>
    <w:p w14:paraId="175E7ABA" w14:textId="07AE02E8" w:rsidR="00C97817" w:rsidRDefault="00C97817" w:rsidP="00415950">
      <w:pPr>
        <w:spacing w:line="480" w:lineRule="auto"/>
        <w:rPr>
          <w:rFonts w:ascii="Times New Roman" w:hAnsi="Times New Roman" w:cs="Times New Roman"/>
          <w:sz w:val="24"/>
          <w:szCs w:val="24"/>
        </w:rPr>
      </w:pPr>
      <w:r>
        <w:tab/>
        <w:t>For-cause removal protections similarly permit stability in government by preventing massive overhaul of agency leaders every time there is a transition at the White House. Concerned about the dangers of flip-flopping policy in such key areas as financial regulation and markets, Congress chose to encourage continuity in these and other realms of policy by imposing protections that would prevent new Presidents from completely reshaping agency leadership simply for the reason of partisan differences. Devins and Lewis, supra, at at 466; see also Bressman and Thompson, supra, at at 613 (“[T]he shifting of administrations every four or eight years can threaten the stability of regulatory policy”); Breger and Edles, supra, at at 1137 (“This organizational structure is intended to dilute the effect of transitory political events on agency policy, which underscores the agencies’ independent role”). These removal protections, like other key features of independent agencies, create stability that leads to the continuity of policies in delicate, far-reaching realms of responsibility.</w:t>
      </w:r>
    </w:p>
    <w:p w14:paraId="79FFF78E" w14:textId="76B18469" w:rsidR="008346D3" w:rsidRDefault="008370B8" w:rsidP="00415950">
      <w:pPr>
        <w:spacing w:line="480" w:lineRule="auto"/>
        <w:rPr>
          <w:rFonts w:ascii="Times New Roman" w:hAnsi="Times New Roman" w:cs="Times New Roman"/>
          <w:sz w:val="24"/>
          <w:szCs w:val="24"/>
        </w:rPr>
      </w:pPr>
      <w:r>
        <w:tab/>
        <w:t xml:space="preserve">Furthermore, for-cause removal protections prevent removal of officials for purposes of political retaliation. By “limiting the President’s appointment and removal power,” Congress is able to “insulate agency decisionmaking from the President’s influence.” Elena Kagan, Presidential Administration, 114 Harv. L. Rev. 2245, 2327 (2001). This is essential in allowing these regulatory bodies to engage in their work and make decisions based on technical expertise and public welfare without fearing that a President will “discipline” them. Verkuil, supra, at at 260 (“[T]he limitation of removal to designated causes ensures that a President will not be able to discipline an official for purely political reasons, or for no reason at all”). Thus, rather than making decisions based on fear of political retaliation, these officials can make them based on the expertise and careful deliberation that is fostered by other structural features of these agencies, as discussed above. Therefore, agencies can make difficult decisions based on long-term interests without being concerned with the same backlash that politicians might fear, such as the Federal Reserve raising interest rates to quell inflation in the long-term even if it’s politically unpopular in the immediate future. Bressman and Thompson, supra, at at 613-14 (“[O]fficials within such agencies would make difficult yet ultimately beneficial decisions that politicians would not”). </w:t>
      </w:r>
    </w:p>
    <w:p w14:paraId="3F2D2930" w14:textId="1331972D" w:rsidR="00C3082F" w:rsidRPr="00AF667E" w:rsidRDefault="00C3082F" w:rsidP="00415950">
      <w:pPr>
        <w:spacing w:line="480" w:lineRule="auto"/>
        <w:rPr>
          <w:rFonts w:ascii="Times New Roman" w:hAnsi="Times New Roman" w:cs="Times New Roman"/>
          <w:sz w:val="24"/>
          <w:szCs w:val="24"/>
        </w:rPr>
      </w:pPr>
      <w:r>
        <w:tab/>
        <w:t xml:space="preserve">Each of the structural elements of independent agencies discussed above serves to create the “independence” of the agencies in question. This independence allows for decision-making that is careful and deliberate, moderated by the representation of diverse perspectives from across the political spectrum, informed by technical expertise and made in the interest of the public, and creates consistency and stability in government regulation of critical and delicate areas of responsibility. </w:t>
      </w:r>
    </w:p>
    <w:p w14:paraId="5B425C34" w14:textId="68240291" w:rsidR="00F44101" w:rsidRDefault="00F44101" w:rsidP="00F44101">
      <w:pPr>
        <w:pStyle w:val="ListParagraph"/>
        <w:numPr>
          <w:ilvl w:val="1"/>
          <w:numId w:val="1"/>
        </w:numPr>
        <w:spacing w:line="480" w:lineRule="auto"/>
        <w:rPr>
          <w:rFonts w:ascii="Times New Roman" w:hAnsi="Times New Roman" w:cs="Times New Roman"/>
          <w:b/>
          <w:bCs/>
          <w:sz w:val="24"/>
          <w:szCs w:val="24"/>
        </w:rPr>
      </w:pPr>
      <w:r>
        <w:t>Counterarguments</w:t>
      </w:r>
    </w:p>
    <w:p w14:paraId="4338A58C" w14:textId="7BA345AF" w:rsidR="007D7B5B" w:rsidRDefault="007D7B5B" w:rsidP="007D7B5B">
      <w:pPr>
        <w:spacing w:line="480" w:lineRule="auto"/>
        <w:ind w:firstLine="360"/>
        <w:rPr>
          <w:rFonts w:ascii="Times New Roman" w:hAnsi="Times New Roman" w:cs="Times New Roman"/>
          <w:sz w:val="24"/>
          <w:szCs w:val="24"/>
        </w:rPr>
      </w:pPr>
      <w:r>
        <w:t>While there is extensive rationale that supports the existence of independent agencies, there are many opponents to these institutions. By far the most common objection is to the for-cause removal power under the claim that such a restriction on the President is unconstitutional; as noted previously, such constitutional elements are outside the purview of this memo. However, there are other, policy-based, arguments that occasionally arise that are worth examining.</w:t>
      </w:r>
    </w:p>
    <w:p w14:paraId="5A3FB8A6" w14:textId="3A82431B" w:rsidR="007D7B5B" w:rsidRDefault="007D7B5B" w:rsidP="007D7B5B">
      <w:pPr>
        <w:spacing w:line="480" w:lineRule="auto"/>
        <w:ind w:firstLine="360"/>
        <w:rPr>
          <w:rFonts w:ascii="Times New Roman" w:hAnsi="Times New Roman" w:cs="Times New Roman"/>
          <w:sz w:val="24"/>
          <w:szCs w:val="24"/>
        </w:rPr>
      </w:pPr>
      <w:r>
        <w:t xml:space="preserve">Akin to the constitutional objections, many argue that independent agencies are problematic because they lack democratic accountability by their level of independence from the executive branch. See, e.g., Lessig &amp; Sunstein, supra; Geoffrey P. Miller, Independent Agencies, 1986 Sup. Ct. Rev. 41 (1986). However, this claim overestimates the level of independence that many of these agencies actually possess. In establishing these agencies, there is a balance to be struck between independence and democratic accountability, and there are measures in place within each of them that still allows the President and Congress oversight. The agency budgets are one primary example: though it varies by agency, either the President, Congress, or both have budgetary control over these institutions, which allows significant influence over the work they engage in. Breger and Edles, supra, at at 1151-53. Furthermore, many scholars argue that the President in fact has more ability to have impact in these agencies than their opponents realize. See Kagan, supra, at at 246-47 (pushing against the idea that independent agencies lack the responsiveness to the executive branch that many claim, instead painting a picture of the “era of presidential administration” we are in); Bressman and Thompson, supra, at at 600-01 (arguing that independent agencies are “increasingly responsive to presidential preferences,” and that “[e]ven if an independent agency is not under the thumb of the President, it might still feel the hand of the President”); Peter L. Strauss, The Place of Agencies in Government: Separation of Powers and the Fourth Branch, 84 Colum. L. Rev. 573, 587-591 (1984) (noting that the President has impact in independent agencies through the appointment of members, chair selection, and budget influence); Breger and Edles, supra, at at 1162 (“A vigilant President will make it more difficult for an agency to effectuate its own policies. Likewise, if Congress chooses to, it can closely regulate an agency through legislation and oversight”). This is highlighted further in the fact that the chairs of many of these agencies are selected by the President, allowing more responsiveness to the political will of the executive. Datla and Revesz, supra, at at 796 (“Chairs are typically seen as a presidential proxy because they usually hold their position as chair . . . at the will of the President”). These elements allow a balance to be struck in these agencies between a level of independence that fosters effective decisionmaking while still maintaining a certain level of responsiveness to the elected branches of government. </w:t>
      </w:r>
    </w:p>
    <w:p w14:paraId="354EE3E8" w14:textId="7A19C50B" w:rsidR="00021304" w:rsidRPr="002F77A8" w:rsidRDefault="00021304" w:rsidP="007D7B5B">
      <w:pPr>
        <w:spacing w:line="480" w:lineRule="auto"/>
        <w:ind w:firstLine="360"/>
        <w:rPr>
          <w:rFonts w:ascii="Times New Roman" w:hAnsi="Times New Roman" w:cs="Times New Roman"/>
          <w:sz w:val="24"/>
          <w:szCs w:val="24"/>
        </w:rPr>
      </w:pPr>
      <w:r>
        <w:t>Another, though less common, argument against independent agencies is the “perceived ineffectiveness of collegial decisionmaking.” Breger and Edles, supra, at at 1199. However, any method of rulemaking has its pros and cons, and Congress is aware of this when choosing the type of institution to establish in certain issue areas. While some areas of policy and adjudication may necessitate a single head that allows for quick response, others, such as those with “sensitive and far reaching responsibilities,” S. Doc. No. 91, supra, at at 79, better serve the public interest by engaging in careful deliberation informed by subject matter expertise and an array of perspectives, see supra Part III.a and III.b, even if the tradeoff is a slower process in result. Additionally, this supposed “ineffectiveness” is also mitigated by some of the structural elements noted above. For example, the chairs of the agencies serve not only as a way for a level of democratic accountability to be maintained, but also as a tool to streamline the administrative processes in their institutions. See Breger and Edles, supra, at at 1200 (“[S]tatutes establishing multi-member organizations tend to minimize confusion by resting day-to-day administrative responsibility in the hands of one of the members”); Datla &amp; Revesz, supra, at at 796 (“[M]ost chairs control the day-to-day administration of the agency”). While any agency design will have its negatives, the ones that come along with independent agencies are able to be balanced and addressed in ways that allow their structural benefits to persevere.</w:t>
      </w:r>
    </w:p>
    <w:p w14:paraId="1EDCF753" w14:textId="1A5E1C53" w:rsidR="007C4470" w:rsidRDefault="007C4470" w:rsidP="007C4470">
      <w:pPr>
        <w:pStyle w:val="ListParagraph"/>
        <w:numPr>
          <w:ilvl w:val="0"/>
          <w:numId w:val="1"/>
        </w:numPr>
        <w:spacing w:line="480" w:lineRule="auto"/>
        <w:rPr>
          <w:rFonts w:ascii="Times New Roman" w:hAnsi="Times New Roman" w:cs="Times New Roman"/>
          <w:b/>
          <w:bCs/>
          <w:sz w:val="24"/>
          <w:szCs w:val="24"/>
        </w:rPr>
      </w:pPr>
      <w:r>
        <w:t>CONCLUSION</w:t>
      </w:r>
    </w:p>
    <w:p w14:paraId="16999F31" w14:textId="59455DEA" w:rsidR="00EF1E36" w:rsidRPr="00EF1E36" w:rsidRDefault="00EF1E36" w:rsidP="009978AD">
      <w:pPr>
        <w:spacing w:line="480" w:lineRule="auto"/>
        <w:ind w:firstLine="360"/>
        <w:rPr>
          <w:rFonts w:ascii="Times New Roman" w:hAnsi="Times New Roman" w:cs="Times New Roman"/>
          <w:sz w:val="24"/>
          <w:szCs w:val="24"/>
        </w:rPr>
      </w:pPr>
      <w:r>
        <w:t>Independent agencies, as characterized by their multimember composition, bipartisan balance requirements, and fixed terms with for-cause removal protections, serve a crucial role in fostering expertise, stability, and moderation in governance. These structural features enable these agencies to make informed decisions insulated from undue political influence, ensuring that regulatory policies reflect long-term public interest rather than short-term political expediency.</w:t>
      </w:r>
    </w:p>
    <w:p w14:paraId="379A4D97" w14:textId="682BB729" w:rsidR="00EF1E36" w:rsidRPr="00EF1E36" w:rsidRDefault="00EF1E36" w:rsidP="00EF1E36">
      <w:pPr>
        <w:spacing w:line="480" w:lineRule="auto"/>
        <w:ind w:firstLine="720"/>
        <w:rPr>
          <w:rFonts w:ascii="Times New Roman" w:hAnsi="Times New Roman" w:cs="Times New Roman"/>
          <w:sz w:val="24"/>
          <w:szCs w:val="24"/>
        </w:rPr>
      </w:pPr>
      <w:r>
        <w:t>While critics argue that independent agencies lack democratic accountability and may suffer from inefficiencies in decision-making, these concerns are mitigated by the oversight mechanisms embedded in their structure. Presidential influence through appointments, congressional budgetary controls, and the leadership role of agency chairs help maintain a balance between independence and responsiveness to elected branches of government. Furthermore, the deliberative processes inherent in multimember agencies promote well-reasoned and fact-based policymaking, which is particularly vital in complex and highly specialized areas of regulation.</w:t>
      </w:r>
    </w:p>
    <w:p w14:paraId="2CEE5D69" w14:textId="5530C96D" w:rsidR="007C4470" w:rsidRPr="00DF57A1" w:rsidRDefault="00EF1E36" w:rsidP="00DF57A1">
      <w:pPr>
        <w:spacing w:line="480" w:lineRule="auto"/>
        <w:ind w:firstLine="720"/>
        <w:rPr>
          <w:rFonts w:ascii="Times New Roman" w:hAnsi="Times New Roman" w:cs="Times New Roman"/>
          <w:b/>
          <w:bCs/>
          <w:sz w:val="24"/>
          <w:szCs w:val="24"/>
        </w:rPr>
      </w:pPr>
      <w:r>
        <w:t xml:space="preserve">Ultimately, independent agencies represent a deliberate choice by Congress to insulate certain regulatory functions from direct political control in order to achieve stability, expertise, and fair decision-making. Their design reflects a careful balancing act between autonomy and accountability, ensuring that these institutions remain effective in addressing the intricate challenges of modern governance. </w:t>
      </w:r>
    </w:p>
    <w:p w14:paraId="76B8AB52" w14:textId="77777777" w:rsidR="007C4470" w:rsidRPr="007C4470" w:rsidRDefault="007C4470" w:rsidP="007C4470">
      <w:pPr>
        <w:spacing w:line="480" w:lineRule="auto"/>
        <w:rPr>
          <w:rFonts w:ascii="Times New Roman" w:hAnsi="Times New Roman" w:cs="Times New Roman"/>
          <w:b/>
          <w:bCs/>
          <w:sz w:val="24"/>
          <w:szCs w:val="24"/>
        </w:rPr>
      </w:pPr>
      <w:r/>
    </w:p>
    <w:p w14:paraId="1E9EC18D" w14:textId="77777777" w:rsidR="007C4470" w:rsidRDefault="007C4470">
      <w:r/>
    </w:p>
    <w:sectPr w:rsidR="007C44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844B" w14:textId="77777777" w:rsidR="002536CD" w:rsidRDefault="002536CD" w:rsidP="00127E34">
      <w:pPr>
        <w:spacing w:after="0" w:line="240" w:lineRule="auto"/>
      </w:pPr>
      <w:r>
        <w:separator/>
      </w:r>
    </w:p>
  </w:endnote>
  <w:endnote w:type="continuationSeparator" w:id="0">
    <w:p w14:paraId="1A255BE4" w14:textId="77777777" w:rsidR="002536CD" w:rsidRDefault="002536CD" w:rsidP="0012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99601542"/>
      <w:docPartObj>
        <w:docPartGallery w:val="Page Numbers (Bottom of Page)"/>
        <w:docPartUnique/>
      </w:docPartObj>
    </w:sdtPr>
    <w:sdtEndPr>
      <w:rPr>
        <w:noProof/>
      </w:rPr>
    </w:sdtEndPr>
    <w:sdtContent>
      <w:p w14:paraId="2CDDE1BA" w14:textId="40ECC0E3" w:rsidR="00A402A2" w:rsidRPr="00A402A2" w:rsidRDefault="00A402A2">
        <w:pPr>
          <w:pStyle w:val="Footer"/>
          <w:jc w:val="center"/>
          <w:rPr>
            <w:rFonts w:ascii="Times New Roman" w:hAnsi="Times New Roman" w:cs="Times New Roman"/>
            <w:sz w:val="24"/>
            <w:szCs w:val="24"/>
          </w:rPr>
        </w:pPr>
        <w:r w:rsidRPr="00A402A2">
          <w:rPr>
            <w:rFonts w:ascii="Times New Roman" w:hAnsi="Times New Roman" w:cs="Times New Roman"/>
            <w:sz w:val="24"/>
            <w:szCs w:val="24"/>
          </w:rPr>
          <w:fldChar w:fldCharType="begin"/>
        </w:r>
        <w:r w:rsidRPr="00A402A2">
          <w:rPr>
            <w:rFonts w:ascii="Times New Roman" w:hAnsi="Times New Roman" w:cs="Times New Roman"/>
            <w:sz w:val="24"/>
            <w:szCs w:val="24"/>
          </w:rPr>
          <w:instrText xml:space="preserve"> PAGE   \* MERGEFORMAT </w:instrText>
        </w:r>
        <w:r w:rsidRPr="00A402A2">
          <w:rPr>
            <w:rFonts w:ascii="Times New Roman" w:hAnsi="Times New Roman" w:cs="Times New Roman"/>
            <w:sz w:val="24"/>
            <w:szCs w:val="24"/>
          </w:rPr>
          <w:fldChar w:fldCharType="separate"/>
        </w:r>
        <w:r w:rsidRPr="00A402A2">
          <w:rPr>
            <w:rFonts w:ascii="Times New Roman" w:hAnsi="Times New Roman" w:cs="Times New Roman"/>
            <w:noProof/>
            <w:sz w:val="24"/>
            <w:szCs w:val="24"/>
          </w:rPr>
          <w:t>2</w:t>
        </w:r>
        <w:r w:rsidRPr="00A402A2">
          <w:rPr>
            <w:rFonts w:ascii="Times New Roman" w:hAnsi="Times New Roman" w:cs="Times New Roman"/>
            <w:noProof/>
            <w:sz w:val="24"/>
            <w:szCs w:val="24"/>
          </w:rPr>
          <w:fldChar w:fldCharType="end"/>
        </w:r>
      </w:p>
    </w:sdtContent>
  </w:sdt>
  <w:p w14:paraId="61EF4019" w14:textId="77777777" w:rsidR="00A402A2" w:rsidRDefault="00A4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16E3" w14:textId="77777777" w:rsidR="002536CD" w:rsidRDefault="002536CD" w:rsidP="00127E34">
      <w:pPr>
        <w:spacing w:after="0" w:line="240" w:lineRule="auto"/>
      </w:pPr>
      <w:r>
        <w:separator/>
      </w:r>
    </w:p>
  </w:footnote>
  <w:footnote w:type="continuationSeparator" w:id="0">
    <w:p w14:paraId="4EF68CEF" w14:textId="77777777" w:rsidR="002536CD" w:rsidRDefault="002536CD" w:rsidP="00127E34">
      <w:pPr>
        <w:spacing w:after="0" w:line="240" w:lineRule="auto"/>
      </w:pPr>
      <w:r>
        <w:continuationSeparator/>
      </w:r>
    </w:p>
  </w:footnote>
  <w:footnote w:id="1">
    <w:p w14:paraId="2ADB2F80" w14:textId="1D741877" w:rsidR="00127E34" w:rsidRPr="005C3EC7" w:rsidRDefault="00127E34" w:rsidP="005C3EC7">
      <w:pPr>
        <w:pStyle w:val="FootnoteText"/>
        <w:rPr>
          <w:sz w:val="22"/>
          <w:szCs w:val="22"/>
        </w:rPr>
      </w:pPr>
      <w:r w:rsidRPr="005C3EC7">
        <w:rPr>
          <w:rStyle w:val="FootnoteReference"/>
          <w:rFonts w:ascii="Times New Roman" w:hAnsi="Times New Roman" w:cs="Times New Roman"/>
          <w:sz w:val="22"/>
          <w:szCs w:val="22"/>
        </w:rPr>
        <w:footnoteRef/>
      </w:r>
      <w:r w:rsidR="00082DBA" w:rsidRPr="005C3EC7">
        <w:rPr>
          <w:rFonts w:ascii="Times New Roman" w:hAnsi="Times New Roman" w:cs="Times New Roman"/>
          <w:sz w:val="22"/>
          <w:szCs w:val="22"/>
        </w:rPr>
        <w:t xml:space="preserve"> </w:t>
      </w:r>
      <w:r w:rsidR="004E0363">
        <w:rPr>
          <w:rFonts w:ascii="Times New Roman" w:hAnsi="Times New Roman" w:cs="Times New Roman"/>
          <w:i/>
          <w:iCs/>
          <w:sz w:val="22"/>
          <w:szCs w:val="22"/>
        </w:rPr>
        <w:t xml:space="preserve">See, e.g., </w:t>
      </w:r>
      <w:r w:rsidR="00082DBA" w:rsidRPr="005C3EC7">
        <w:rPr>
          <w:rFonts w:ascii="Times New Roman" w:hAnsi="Times New Roman" w:cs="Times New Roman"/>
          <w:sz w:val="22"/>
          <w:szCs w:val="22"/>
        </w:rPr>
        <w:t xml:space="preserve">Philip M. Napoli, </w:t>
      </w:r>
      <w:r w:rsidR="00082DBA" w:rsidRPr="005C3EC7">
        <w:rPr>
          <w:rFonts w:ascii="Times New Roman" w:hAnsi="Times New Roman" w:cs="Times New Roman"/>
          <w:i/>
          <w:iCs/>
          <w:sz w:val="22"/>
          <w:szCs w:val="22"/>
        </w:rPr>
        <w:t xml:space="preserve">Foundations of Communication Policy: Principles and Process in the Regulation of Electronic Media </w:t>
      </w:r>
      <w:r w:rsidR="005D42B1" w:rsidRPr="005C3EC7">
        <w:rPr>
          <w:rFonts w:ascii="Times New Roman" w:hAnsi="Times New Roman" w:cs="Times New Roman"/>
          <w:sz w:val="22"/>
          <w:szCs w:val="22"/>
        </w:rPr>
        <w:t xml:space="preserve">(2010) (communications); </w:t>
      </w:r>
      <w:r w:rsidR="00075552" w:rsidRPr="005C3EC7">
        <w:rPr>
          <w:rFonts w:ascii="Times New Roman" w:hAnsi="Times New Roman" w:cs="Times New Roman"/>
          <w:sz w:val="22"/>
          <w:szCs w:val="22"/>
        </w:rPr>
        <w:t xml:space="preserve">Bressman and Thompson, </w:t>
      </w:r>
      <w:r w:rsidR="00075552" w:rsidRPr="005C3EC7">
        <w:rPr>
          <w:rFonts w:ascii="Times New Roman" w:hAnsi="Times New Roman" w:cs="Times New Roman"/>
          <w:i/>
          <w:iCs/>
          <w:sz w:val="22"/>
          <w:szCs w:val="22"/>
        </w:rPr>
        <w:t>supra</w:t>
      </w:r>
      <w:r w:rsidR="00075552" w:rsidRPr="005C3EC7">
        <w:rPr>
          <w:rFonts w:ascii="Times New Roman" w:hAnsi="Times New Roman" w:cs="Times New Roman"/>
          <w:sz w:val="22"/>
          <w:szCs w:val="22"/>
        </w:rPr>
        <w:t>, (</w:t>
      </w:r>
      <w:r w:rsidR="00AE4386" w:rsidRPr="005C3EC7">
        <w:rPr>
          <w:rFonts w:ascii="Times New Roman" w:hAnsi="Times New Roman" w:cs="Times New Roman"/>
          <w:sz w:val="22"/>
          <w:szCs w:val="22"/>
        </w:rPr>
        <w:t xml:space="preserve">finance, </w:t>
      </w:r>
      <w:r w:rsidR="00075552" w:rsidRPr="005C3EC7">
        <w:rPr>
          <w:rFonts w:ascii="Times New Roman" w:hAnsi="Times New Roman" w:cs="Times New Roman"/>
          <w:sz w:val="22"/>
          <w:szCs w:val="22"/>
        </w:rPr>
        <w:t>healthcare</w:t>
      </w:r>
      <w:r w:rsidR="00AE4386" w:rsidRPr="005C3EC7">
        <w:rPr>
          <w:rFonts w:ascii="Times New Roman" w:hAnsi="Times New Roman" w:cs="Times New Roman"/>
          <w:sz w:val="22"/>
          <w:szCs w:val="22"/>
        </w:rPr>
        <w:t>,</w:t>
      </w:r>
      <w:r w:rsidR="00075552" w:rsidRPr="005C3EC7">
        <w:rPr>
          <w:rFonts w:ascii="Times New Roman" w:hAnsi="Times New Roman" w:cs="Times New Roman"/>
          <w:sz w:val="22"/>
          <w:szCs w:val="22"/>
        </w:rPr>
        <w:t xml:space="preserve"> and environmental regulation)</w:t>
      </w:r>
    </w:p>
  </w:footnote>
  <w:footnote w:id="2">
    <w:p w14:paraId="3871FBB8" w14:textId="3A097E2A" w:rsidR="00127E34" w:rsidRPr="007F4E7D" w:rsidRDefault="00127E34" w:rsidP="005C3EC7">
      <w:pPr>
        <w:pStyle w:val="FootnoteText"/>
        <w:rPr>
          <w:rFonts w:ascii="Times New Roman" w:hAnsi="Times New Roman" w:cs="Times New Roman"/>
          <w:sz w:val="24"/>
          <w:szCs w:val="24"/>
        </w:rPr>
      </w:pPr>
      <w:r w:rsidRPr="005C3EC7">
        <w:rPr>
          <w:rStyle w:val="FootnoteReference"/>
          <w:rFonts w:ascii="Times New Roman" w:hAnsi="Times New Roman" w:cs="Times New Roman"/>
          <w:sz w:val="22"/>
          <w:szCs w:val="22"/>
        </w:rPr>
        <w:footnoteRef/>
      </w:r>
      <w:r w:rsidRPr="005C3EC7">
        <w:rPr>
          <w:rFonts w:ascii="Times New Roman" w:hAnsi="Times New Roman" w:cs="Times New Roman"/>
          <w:sz w:val="22"/>
          <w:szCs w:val="22"/>
        </w:rPr>
        <w:t xml:space="preserve"> </w:t>
      </w:r>
      <w:r w:rsidR="004E0363">
        <w:rPr>
          <w:rFonts w:ascii="Times New Roman" w:hAnsi="Times New Roman" w:cs="Times New Roman"/>
          <w:i/>
          <w:iCs/>
          <w:sz w:val="22"/>
          <w:szCs w:val="22"/>
        </w:rPr>
        <w:t xml:space="preserve">See, e.g., </w:t>
      </w:r>
      <w:r w:rsidR="007F4E7D" w:rsidRPr="005C3EC7">
        <w:rPr>
          <w:rFonts w:ascii="Times New Roman" w:hAnsi="Times New Roman" w:cs="Times New Roman"/>
          <w:sz w:val="22"/>
          <w:szCs w:val="22"/>
        </w:rPr>
        <w:t xml:space="preserve">Robert A. Cass, </w:t>
      </w:r>
      <w:r w:rsidR="007F4E7D" w:rsidRPr="005C3EC7">
        <w:rPr>
          <w:rFonts w:ascii="Times New Roman" w:hAnsi="Times New Roman" w:cs="Times New Roman"/>
          <w:i/>
          <w:iCs/>
          <w:sz w:val="22"/>
          <w:szCs w:val="22"/>
        </w:rPr>
        <w:t>Thoughts on Civil Service Reform: A Tale of Two Civils</w:t>
      </w:r>
      <w:r w:rsidR="007F4E7D" w:rsidRPr="005C3EC7">
        <w:rPr>
          <w:rFonts w:ascii="Times New Roman" w:hAnsi="Times New Roman" w:cs="Times New Roman"/>
          <w:sz w:val="22"/>
          <w:szCs w:val="22"/>
        </w:rPr>
        <w:t>, Conference: Gray Center Policy Briefs - Government Employment At: C. Boyden Gray Center for the Study of the Administrative State, Antonin Scalia Law School (2024)</w:t>
      </w:r>
      <w:r w:rsidR="007F4E7D" w:rsidRPr="005C3EC7">
        <w:rPr>
          <w:rFonts w:ascii="Times New Roman" w:hAnsi="Times New Roman" w:cs="Times New Roman"/>
          <w:sz w:val="22"/>
          <w:szCs w:val="22"/>
        </w:rPr>
        <w:t xml:space="preserve">; </w:t>
      </w:r>
      <w:r w:rsidR="007F4E7D" w:rsidRPr="005C3EC7">
        <w:rPr>
          <w:rFonts w:ascii="Times New Roman" w:hAnsi="Times New Roman" w:cs="Times New Roman"/>
          <w:sz w:val="22"/>
          <w:szCs w:val="22"/>
        </w:rPr>
        <w:t xml:space="preserve">Heidi </w:t>
      </w:r>
      <w:proofErr w:type="spellStart"/>
      <w:r w:rsidR="007F4E7D" w:rsidRPr="005C3EC7">
        <w:rPr>
          <w:rFonts w:ascii="Times New Roman" w:hAnsi="Times New Roman" w:cs="Times New Roman"/>
          <w:sz w:val="22"/>
          <w:szCs w:val="22"/>
        </w:rPr>
        <w:t>Kitrosser</w:t>
      </w:r>
      <w:proofErr w:type="spellEnd"/>
      <w:r w:rsidR="007F4E7D" w:rsidRPr="005C3EC7">
        <w:rPr>
          <w:rFonts w:ascii="Times New Roman" w:hAnsi="Times New Roman" w:cs="Times New Roman"/>
          <w:sz w:val="22"/>
          <w:szCs w:val="22"/>
        </w:rPr>
        <w:t xml:space="preserve">, </w:t>
      </w:r>
      <w:r w:rsidR="007F4E7D" w:rsidRPr="005C3EC7">
        <w:rPr>
          <w:rFonts w:ascii="Times New Roman" w:hAnsi="Times New Roman" w:cs="Times New Roman"/>
          <w:i/>
          <w:iCs/>
          <w:sz w:val="22"/>
          <w:szCs w:val="22"/>
        </w:rPr>
        <w:t>Presidential Administration: How Implementing Unitary Executive Theory Can Undermine Accountability</w:t>
      </w:r>
      <w:r w:rsidR="007F4E7D" w:rsidRPr="005C3EC7">
        <w:rPr>
          <w:rFonts w:ascii="Times New Roman" w:hAnsi="Times New Roman" w:cs="Times New Roman"/>
          <w:sz w:val="22"/>
          <w:szCs w:val="22"/>
        </w:rPr>
        <w:t>, 40-SPG Admin. &amp; Reg. L. News 4 (2015)</w:t>
      </w:r>
      <w:r w:rsidR="007F4E7D" w:rsidRPr="005C3EC7">
        <w:rPr>
          <w:rFonts w:ascii="Times New Roman" w:hAnsi="Times New Roman" w:cs="Times New Roman"/>
          <w:sz w:val="22"/>
          <w:szCs w:val="22"/>
        </w:rPr>
        <w:t xml:space="preserve">; </w:t>
      </w:r>
      <w:r w:rsidR="00DF57A1" w:rsidRPr="005C3EC7">
        <w:rPr>
          <w:rFonts w:ascii="Times New Roman" w:hAnsi="Times New Roman" w:cs="Times New Roman"/>
          <w:i/>
          <w:iCs/>
          <w:sz w:val="22"/>
          <w:szCs w:val="22"/>
        </w:rPr>
        <w:t>Humphrey’s Executor</w:t>
      </w:r>
      <w:r w:rsidR="00DF57A1" w:rsidRPr="005C3EC7">
        <w:rPr>
          <w:rFonts w:ascii="Times New Roman" w:hAnsi="Times New Roman" w:cs="Times New Roman"/>
          <w:sz w:val="22"/>
          <w:szCs w:val="22"/>
        </w:rPr>
        <w:t>, 295 U.S. 602</w:t>
      </w:r>
      <w:r w:rsidR="00DF57A1" w:rsidRPr="005C3EC7">
        <w:rPr>
          <w:rFonts w:ascii="Times New Roman" w:hAnsi="Times New Roman" w:cs="Times New Roman"/>
          <w:sz w:val="22"/>
          <w:szCs w:val="22"/>
        </w:rPr>
        <w:t xml:space="preserve"> </w:t>
      </w:r>
      <w:r w:rsidR="00DF57A1" w:rsidRPr="005C3EC7">
        <w:rPr>
          <w:rFonts w:ascii="Times New Roman" w:hAnsi="Times New Roman" w:cs="Times New Roman"/>
          <w:sz w:val="22"/>
          <w:szCs w:val="22"/>
        </w:rPr>
        <w:t>(1935)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3D3C"/>
    <w:multiLevelType w:val="hybridMultilevel"/>
    <w:tmpl w:val="A516C7B4"/>
    <w:lvl w:ilvl="0" w:tplc="35F8CD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26578"/>
    <w:multiLevelType w:val="hybridMultilevel"/>
    <w:tmpl w:val="E07CB7CC"/>
    <w:lvl w:ilvl="0" w:tplc="E6CA62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062116">
    <w:abstractNumId w:val="1"/>
  </w:num>
  <w:num w:numId="2" w16cid:durableId="134520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A0"/>
    <w:rsid w:val="00021304"/>
    <w:rsid w:val="00075552"/>
    <w:rsid w:val="00081D11"/>
    <w:rsid w:val="00082DBA"/>
    <w:rsid w:val="00097F1F"/>
    <w:rsid w:val="001136AB"/>
    <w:rsid w:val="00127E34"/>
    <w:rsid w:val="001842A4"/>
    <w:rsid w:val="001D7805"/>
    <w:rsid w:val="002536CD"/>
    <w:rsid w:val="002A28BC"/>
    <w:rsid w:val="002D4CB5"/>
    <w:rsid w:val="002F77A8"/>
    <w:rsid w:val="00315C58"/>
    <w:rsid w:val="0031672D"/>
    <w:rsid w:val="0036128E"/>
    <w:rsid w:val="003B7695"/>
    <w:rsid w:val="003E4FD3"/>
    <w:rsid w:val="00415950"/>
    <w:rsid w:val="00464D78"/>
    <w:rsid w:val="00470C9C"/>
    <w:rsid w:val="004864C9"/>
    <w:rsid w:val="004E0363"/>
    <w:rsid w:val="004E38F7"/>
    <w:rsid w:val="005B090D"/>
    <w:rsid w:val="005C26D9"/>
    <w:rsid w:val="005C3EC7"/>
    <w:rsid w:val="005D42B1"/>
    <w:rsid w:val="005F0779"/>
    <w:rsid w:val="006B6D11"/>
    <w:rsid w:val="00791CCA"/>
    <w:rsid w:val="007C4470"/>
    <w:rsid w:val="007D7B5B"/>
    <w:rsid w:val="007F4E7D"/>
    <w:rsid w:val="008346D3"/>
    <w:rsid w:val="008370B8"/>
    <w:rsid w:val="008659E9"/>
    <w:rsid w:val="00880F3F"/>
    <w:rsid w:val="008A3FF5"/>
    <w:rsid w:val="00906C8B"/>
    <w:rsid w:val="00956298"/>
    <w:rsid w:val="009978AD"/>
    <w:rsid w:val="00A1414C"/>
    <w:rsid w:val="00A2628D"/>
    <w:rsid w:val="00A402A2"/>
    <w:rsid w:val="00A5231C"/>
    <w:rsid w:val="00A715A0"/>
    <w:rsid w:val="00AE0C79"/>
    <w:rsid w:val="00AE4386"/>
    <w:rsid w:val="00AF667E"/>
    <w:rsid w:val="00B03E0E"/>
    <w:rsid w:val="00B24FA8"/>
    <w:rsid w:val="00B3418D"/>
    <w:rsid w:val="00B854FD"/>
    <w:rsid w:val="00BA55E4"/>
    <w:rsid w:val="00C3082F"/>
    <w:rsid w:val="00C97817"/>
    <w:rsid w:val="00D33269"/>
    <w:rsid w:val="00DF57A1"/>
    <w:rsid w:val="00E471B0"/>
    <w:rsid w:val="00E85896"/>
    <w:rsid w:val="00EF1D25"/>
    <w:rsid w:val="00EF1E36"/>
    <w:rsid w:val="00F00C29"/>
    <w:rsid w:val="00F07B1D"/>
    <w:rsid w:val="00F1409E"/>
    <w:rsid w:val="00F22431"/>
    <w:rsid w:val="00F433B2"/>
    <w:rsid w:val="00F4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C34FE"/>
  <w15:chartTrackingRefBased/>
  <w15:docId w15:val="{036D3900-CE38-43E7-9583-133D726E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A0"/>
  </w:style>
  <w:style w:type="paragraph" w:styleId="Heading1">
    <w:name w:val="heading 1"/>
    <w:basedOn w:val="Normal"/>
    <w:next w:val="Normal"/>
    <w:link w:val="Heading1Char"/>
    <w:uiPriority w:val="9"/>
    <w:qFormat/>
    <w:rsid w:val="00A7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A0"/>
    <w:rPr>
      <w:rFonts w:eastAsiaTheme="majorEastAsia" w:cstheme="majorBidi"/>
      <w:color w:val="272727" w:themeColor="text1" w:themeTint="D8"/>
    </w:rPr>
  </w:style>
  <w:style w:type="paragraph" w:styleId="Title">
    <w:name w:val="Title"/>
    <w:basedOn w:val="Normal"/>
    <w:next w:val="Normal"/>
    <w:link w:val="TitleChar"/>
    <w:uiPriority w:val="10"/>
    <w:qFormat/>
    <w:rsid w:val="00A7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A0"/>
    <w:pPr>
      <w:spacing w:before="160"/>
      <w:jc w:val="center"/>
    </w:pPr>
    <w:rPr>
      <w:i/>
      <w:iCs/>
      <w:color w:val="404040" w:themeColor="text1" w:themeTint="BF"/>
    </w:rPr>
  </w:style>
  <w:style w:type="character" w:customStyle="1" w:styleId="QuoteChar">
    <w:name w:val="Quote Char"/>
    <w:basedOn w:val="DefaultParagraphFont"/>
    <w:link w:val="Quote"/>
    <w:uiPriority w:val="29"/>
    <w:rsid w:val="00A715A0"/>
    <w:rPr>
      <w:i/>
      <w:iCs/>
      <w:color w:val="404040" w:themeColor="text1" w:themeTint="BF"/>
    </w:rPr>
  </w:style>
  <w:style w:type="paragraph" w:styleId="ListParagraph">
    <w:name w:val="List Paragraph"/>
    <w:basedOn w:val="Normal"/>
    <w:uiPriority w:val="34"/>
    <w:qFormat/>
    <w:rsid w:val="00A715A0"/>
    <w:pPr>
      <w:ind w:left="720"/>
      <w:contextualSpacing/>
    </w:pPr>
  </w:style>
  <w:style w:type="character" w:styleId="IntenseEmphasis">
    <w:name w:val="Intense Emphasis"/>
    <w:basedOn w:val="DefaultParagraphFont"/>
    <w:uiPriority w:val="21"/>
    <w:qFormat/>
    <w:rsid w:val="00A715A0"/>
    <w:rPr>
      <w:i/>
      <w:iCs/>
      <w:color w:val="0F4761" w:themeColor="accent1" w:themeShade="BF"/>
    </w:rPr>
  </w:style>
  <w:style w:type="paragraph" w:styleId="IntenseQuote">
    <w:name w:val="Intense Quote"/>
    <w:basedOn w:val="Normal"/>
    <w:next w:val="Normal"/>
    <w:link w:val="IntenseQuoteChar"/>
    <w:uiPriority w:val="30"/>
    <w:qFormat/>
    <w:rsid w:val="00A7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A0"/>
    <w:rPr>
      <w:i/>
      <w:iCs/>
      <w:color w:val="0F4761" w:themeColor="accent1" w:themeShade="BF"/>
    </w:rPr>
  </w:style>
  <w:style w:type="character" w:styleId="IntenseReference">
    <w:name w:val="Intense Reference"/>
    <w:basedOn w:val="DefaultParagraphFont"/>
    <w:uiPriority w:val="32"/>
    <w:qFormat/>
    <w:rsid w:val="00A715A0"/>
    <w:rPr>
      <w:b/>
      <w:bCs/>
      <w:smallCaps/>
      <w:color w:val="0F4761" w:themeColor="accent1" w:themeShade="BF"/>
      <w:spacing w:val="5"/>
    </w:rPr>
  </w:style>
  <w:style w:type="paragraph" w:styleId="FootnoteText">
    <w:name w:val="footnote text"/>
    <w:basedOn w:val="Normal"/>
    <w:link w:val="FootnoteTextChar"/>
    <w:uiPriority w:val="99"/>
    <w:semiHidden/>
    <w:unhideWhenUsed/>
    <w:rsid w:val="00127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E34"/>
    <w:rPr>
      <w:sz w:val="20"/>
      <w:szCs w:val="20"/>
    </w:rPr>
  </w:style>
  <w:style w:type="character" w:styleId="FootnoteReference">
    <w:name w:val="footnote reference"/>
    <w:basedOn w:val="DefaultParagraphFont"/>
    <w:uiPriority w:val="99"/>
    <w:semiHidden/>
    <w:unhideWhenUsed/>
    <w:rsid w:val="00127E34"/>
    <w:rPr>
      <w:vertAlign w:val="superscript"/>
    </w:rPr>
  </w:style>
  <w:style w:type="paragraph" w:styleId="Header">
    <w:name w:val="header"/>
    <w:basedOn w:val="Normal"/>
    <w:link w:val="HeaderChar"/>
    <w:uiPriority w:val="99"/>
    <w:unhideWhenUsed/>
    <w:rsid w:val="00A40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A2"/>
  </w:style>
  <w:style w:type="paragraph" w:styleId="Footer">
    <w:name w:val="footer"/>
    <w:basedOn w:val="Normal"/>
    <w:link w:val="FooterChar"/>
    <w:uiPriority w:val="99"/>
    <w:unhideWhenUsed/>
    <w:rsid w:val="00A40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0678">
      <w:bodyDiv w:val="1"/>
      <w:marLeft w:val="0"/>
      <w:marRight w:val="0"/>
      <w:marTop w:val="0"/>
      <w:marBottom w:val="0"/>
      <w:divBdr>
        <w:top w:val="none" w:sz="0" w:space="0" w:color="auto"/>
        <w:left w:val="none" w:sz="0" w:space="0" w:color="auto"/>
        <w:bottom w:val="none" w:sz="0" w:space="0" w:color="auto"/>
        <w:right w:val="none" w:sz="0" w:space="0" w:color="auto"/>
      </w:divBdr>
    </w:div>
    <w:div w:id="1108743106">
      <w:bodyDiv w:val="1"/>
      <w:marLeft w:val="0"/>
      <w:marRight w:val="0"/>
      <w:marTop w:val="0"/>
      <w:marBottom w:val="0"/>
      <w:divBdr>
        <w:top w:val="none" w:sz="0" w:space="0" w:color="auto"/>
        <w:left w:val="none" w:sz="0" w:space="0" w:color="auto"/>
        <w:bottom w:val="none" w:sz="0" w:space="0" w:color="auto"/>
        <w:right w:val="none" w:sz="0" w:space="0" w:color="auto"/>
      </w:divBdr>
    </w:div>
    <w:div w:id="1261454599">
      <w:bodyDiv w:val="1"/>
      <w:marLeft w:val="0"/>
      <w:marRight w:val="0"/>
      <w:marTop w:val="0"/>
      <w:marBottom w:val="0"/>
      <w:divBdr>
        <w:top w:val="none" w:sz="0" w:space="0" w:color="auto"/>
        <w:left w:val="none" w:sz="0" w:space="0" w:color="auto"/>
        <w:bottom w:val="none" w:sz="0" w:space="0" w:color="auto"/>
        <w:right w:val="none" w:sz="0" w:space="0" w:color="auto"/>
      </w:divBdr>
    </w:div>
    <w:div w:id="1419867781">
      <w:bodyDiv w:val="1"/>
      <w:marLeft w:val="0"/>
      <w:marRight w:val="0"/>
      <w:marTop w:val="0"/>
      <w:marBottom w:val="0"/>
      <w:divBdr>
        <w:top w:val="none" w:sz="0" w:space="0" w:color="auto"/>
        <w:left w:val="none" w:sz="0" w:space="0" w:color="auto"/>
        <w:bottom w:val="none" w:sz="0" w:space="0" w:color="auto"/>
        <w:right w:val="none" w:sz="0" w:space="0" w:color="auto"/>
      </w:divBdr>
    </w:div>
    <w:div w:id="1436553774">
      <w:bodyDiv w:val="1"/>
      <w:marLeft w:val="0"/>
      <w:marRight w:val="0"/>
      <w:marTop w:val="0"/>
      <w:marBottom w:val="0"/>
      <w:divBdr>
        <w:top w:val="none" w:sz="0" w:space="0" w:color="auto"/>
        <w:left w:val="none" w:sz="0" w:space="0" w:color="auto"/>
        <w:bottom w:val="none" w:sz="0" w:space="0" w:color="auto"/>
        <w:right w:val="none" w:sz="0" w:space="0" w:color="auto"/>
      </w:divBdr>
    </w:div>
    <w:div w:id="1460997692">
      <w:bodyDiv w:val="1"/>
      <w:marLeft w:val="0"/>
      <w:marRight w:val="0"/>
      <w:marTop w:val="0"/>
      <w:marBottom w:val="0"/>
      <w:divBdr>
        <w:top w:val="none" w:sz="0" w:space="0" w:color="auto"/>
        <w:left w:val="none" w:sz="0" w:space="0" w:color="auto"/>
        <w:bottom w:val="none" w:sz="0" w:space="0" w:color="auto"/>
        <w:right w:val="none" w:sz="0" w:space="0" w:color="auto"/>
      </w:divBdr>
    </w:div>
    <w:div w:id="1482230262">
      <w:bodyDiv w:val="1"/>
      <w:marLeft w:val="0"/>
      <w:marRight w:val="0"/>
      <w:marTop w:val="0"/>
      <w:marBottom w:val="0"/>
      <w:divBdr>
        <w:top w:val="none" w:sz="0" w:space="0" w:color="auto"/>
        <w:left w:val="none" w:sz="0" w:space="0" w:color="auto"/>
        <w:bottom w:val="none" w:sz="0" w:space="0" w:color="auto"/>
        <w:right w:val="none" w:sz="0" w:space="0" w:color="auto"/>
      </w:divBdr>
    </w:div>
    <w:div w:id="1560096842">
      <w:bodyDiv w:val="1"/>
      <w:marLeft w:val="0"/>
      <w:marRight w:val="0"/>
      <w:marTop w:val="0"/>
      <w:marBottom w:val="0"/>
      <w:divBdr>
        <w:top w:val="none" w:sz="0" w:space="0" w:color="auto"/>
        <w:left w:val="none" w:sz="0" w:space="0" w:color="auto"/>
        <w:bottom w:val="none" w:sz="0" w:space="0" w:color="auto"/>
        <w:right w:val="none" w:sz="0" w:space="0" w:color="auto"/>
      </w:divBdr>
    </w:div>
    <w:div w:id="17793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1663</TotalTime>
  <Pages>13</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Lesniak</dc:creator>
  <cp:keywords/>
  <dc:description/>
  <cp:lastModifiedBy>Alice Lesniak</cp:lastModifiedBy>
  <cp:revision>10</cp:revision>
  <dcterms:created xsi:type="dcterms:W3CDTF">2025-01-30T15:09:00Z</dcterms:created>
  <dcterms:modified xsi:type="dcterms:W3CDTF">2025-02-06T21:40:00Z</dcterms:modified>
</cp:coreProperties>
</file>